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19" w:rsidRDefault="007877B2">
      <w:pPr>
        <w:pStyle w:val="normal0"/>
        <w:shd w:val="clear" w:color="auto" w:fill="FFFFFF"/>
        <w:spacing w:before="100" w:after="280"/>
        <w:rPr>
          <w:rFonts w:ascii="Times New Roman" w:eastAsia="Times New Roman" w:hAnsi="Times New Roman" w:cs="Times New Roman"/>
          <w:sz w:val="20"/>
          <w:szCs w:val="20"/>
        </w:rPr>
      </w:pPr>
      <w:r>
        <w:rPr>
          <w:rFonts w:ascii="Century Gothic" w:eastAsia="Century Gothic" w:hAnsi="Century Gothic" w:cs="Century Gothic"/>
        </w:rPr>
        <w:t xml:space="preserve">General Data Protection Regulation </w:t>
      </w:r>
      <w:r>
        <w:rPr>
          <w:rFonts w:ascii="Century Gothic" w:eastAsia="Century Gothic" w:hAnsi="Century Gothic" w:cs="Century Gothic"/>
          <w:sz w:val="22"/>
          <w:szCs w:val="22"/>
        </w:rPr>
        <w:t xml:space="preserve">Policy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b/>
          <w:sz w:val="22"/>
          <w:szCs w:val="22"/>
        </w:rPr>
        <w:t xml:space="preserve">Statement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GDPR stands for General Data Protection Regulation and replaces the previous Data Protection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Directives that were in place. It was approved by the EU Parliament in 2016 and comes into effect on 25th May 2018.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GDPR states that personal data should be ‘processed fairly &amp; lawfully’ and ‘collected for specified, explicit and legitimate purposes’ and </w:t>
      </w:r>
      <w:r>
        <w:rPr>
          <w:rFonts w:ascii="Century Gothic" w:eastAsia="Century Gothic" w:hAnsi="Century Gothic" w:cs="Century Gothic"/>
          <w:sz w:val="22"/>
          <w:szCs w:val="22"/>
        </w:rPr>
        <w:t>that individuals data is not processed without their knowledge and are only processed with their ‘explicit’ consent. GDPR covers personal data relating to individuals. The Sjaan Dance is committed to protecting the rights and freedoms of individuals with r</w:t>
      </w:r>
      <w:r>
        <w:rPr>
          <w:rFonts w:ascii="Century Gothic" w:eastAsia="Century Gothic" w:hAnsi="Century Gothic" w:cs="Century Gothic"/>
          <w:sz w:val="22"/>
          <w:szCs w:val="22"/>
        </w:rPr>
        <w:t xml:space="preserve">espect to the processing of children's, parents, visitors and staff personal data.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The Data Protection Act gives individuals the right to know what information is held about them. It provides a framework to ensure that personal information </w:t>
      </w:r>
      <w:r>
        <w:rPr>
          <w:rFonts w:ascii="Century Gothic" w:eastAsia="Century Gothic" w:hAnsi="Century Gothic" w:cs="Century Gothic"/>
          <w:b/>
          <w:sz w:val="22"/>
          <w:szCs w:val="22"/>
        </w:rPr>
        <w:t>GDPR includes 7</w:t>
      </w:r>
      <w:r>
        <w:rPr>
          <w:rFonts w:ascii="Century Gothic" w:eastAsia="Century Gothic" w:hAnsi="Century Gothic" w:cs="Century Gothic"/>
          <w:b/>
          <w:sz w:val="22"/>
          <w:szCs w:val="22"/>
        </w:rPr>
        <w:t xml:space="preserve"> rights for individuals</w:t>
      </w:r>
      <w:r>
        <w:rPr>
          <w:rFonts w:ascii="Merriweather Sans" w:eastAsia="Merriweather Sans" w:hAnsi="Merriweather Sans" w:cs="Merriweather Sans"/>
          <w:b/>
          <w:sz w:val="22"/>
          <w:szCs w:val="22"/>
        </w:rPr>
        <w:t xml:space="preserve">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 xml:space="preserve">1) The right to be informed </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 Sjaan Dance </w:t>
      </w:r>
      <w:r w:rsidR="00044E85">
        <w:rPr>
          <w:rFonts w:ascii="Century Gothic" w:eastAsia="Century Gothic" w:hAnsi="Century Gothic" w:cs="Century Gothic"/>
          <w:sz w:val="22"/>
          <w:szCs w:val="22"/>
        </w:rPr>
        <w:t>Academy</w:t>
      </w:r>
      <w:r>
        <w:rPr>
          <w:rFonts w:ascii="Century Gothic" w:eastAsia="Century Gothic" w:hAnsi="Century Gothic" w:cs="Century Gothic"/>
          <w:sz w:val="22"/>
          <w:szCs w:val="22"/>
        </w:rPr>
        <w:t xml:space="preserve"> is a Dance provider and as so, is required to collect and manage certain data. We need to know parent’s names, addresses, telephone numbers, email addresses. We need to know ch</w:t>
      </w:r>
      <w:r>
        <w:rPr>
          <w:rFonts w:ascii="Century Gothic" w:eastAsia="Century Gothic" w:hAnsi="Century Gothic" w:cs="Century Gothic"/>
          <w:sz w:val="22"/>
          <w:szCs w:val="22"/>
        </w:rPr>
        <w:t xml:space="preserve">ildren’s’ full names, addresses, date of birth and Education school, along with any SEN requirements.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We are required to collect certain details of visitors to our Stage Schools. We need to know visits names, telephone numbers, and where appropriate compa</w:t>
      </w:r>
      <w:r>
        <w:rPr>
          <w:rFonts w:ascii="Century Gothic" w:eastAsia="Century Gothic" w:hAnsi="Century Gothic" w:cs="Century Gothic"/>
          <w:sz w:val="22"/>
          <w:szCs w:val="22"/>
        </w:rPr>
        <w:t xml:space="preserve">ny name. This is in respect of our Health and Safety and Safeguarding Policies.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As an employer The Sjaan Dance Academy is required to hold data on its Teachers; names, addresses, email addresses, telephone numbers, date of birth, National Insurance number</w:t>
      </w:r>
      <w:r>
        <w:rPr>
          <w:rFonts w:ascii="Century Gothic" w:eastAsia="Century Gothic" w:hAnsi="Century Gothic" w:cs="Century Gothic"/>
          <w:sz w:val="22"/>
          <w:szCs w:val="22"/>
        </w:rPr>
        <w:t>s, photographic ID such as passport and driver’s license, bank details. This information is also required for Disclosure and Barring Service checks (DBS) and proof of eligibility to work in the UK. This information is sent via a secure file transfer system</w:t>
      </w:r>
      <w:r>
        <w:rPr>
          <w:rFonts w:ascii="Century Gothic" w:eastAsia="Century Gothic" w:hAnsi="Century Gothic" w:cs="Century Gothic"/>
          <w:sz w:val="22"/>
          <w:szCs w:val="22"/>
        </w:rPr>
        <w:t xml:space="preserve"> to Capita for the processing of DBS checks. DBS Numbers and date of issue are also held on a central staffing record.</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lastRenderedPageBreak/>
        <w:t xml:space="preserve"> The Sjaan Dance Academy uses Cookies on its website to collect data for Google Analytics, this data is anonymous.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2) The right of acces</w:t>
      </w:r>
      <w:r>
        <w:rPr>
          <w:rFonts w:ascii="Century Gothic" w:eastAsia="Century Gothic" w:hAnsi="Century Gothic" w:cs="Century Gothic"/>
          <w:color w:val="4C7FBC"/>
          <w:sz w:val="22"/>
          <w:szCs w:val="22"/>
        </w:rPr>
        <w:t xml:space="preserve">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At any point an individual can make a request relating to their data and The Sjaan Dance Academy will need to provide a response (within 1 month).  The Sjaan Dance Academy can refuse a request, if we have a lawful obligation to retain data but we  The S</w:t>
      </w:r>
      <w:r>
        <w:rPr>
          <w:rFonts w:ascii="Century Gothic" w:eastAsia="Century Gothic" w:hAnsi="Century Gothic" w:cs="Century Gothic"/>
          <w:sz w:val="22"/>
          <w:szCs w:val="22"/>
        </w:rPr>
        <w:t xml:space="preserve">jaan Dance Academy inform the individual of the reasons for the rejection. The individual will have the right to complain to the ICO if they are not happy with the decision.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 xml:space="preserve">3) The right to erasure </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You have the right to request the deletion of your data </w:t>
      </w:r>
      <w:r>
        <w:rPr>
          <w:rFonts w:ascii="Century Gothic" w:eastAsia="Century Gothic" w:hAnsi="Century Gothic" w:cs="Century Gothic"/>
          <w:sz w:val="22"/>
          <w:szCs w:val="22"/>
        </w:rPr>
        <w:t>where there is no compelling reason for its continued use. However  The Sjaan Dance Academy has a legal duty to keep children’s and parents details for a reasonable time*, retain these records for 3 years after leaving pre-school, children's accident and i</w:t>
      </w:r>
      <w:r>
        <w:rPr>
          <w:rFonts w:ascii="Century Gothic" w:eastAsia="Century Gothic" w:hAnsi="Century Gothic" w:cs="Century Gothic"/>
          <w:sz w:val="22"/>
          <w:szCs w:val="22"/>
        </w:rPr>
        <w:t>njury records for 19 years (or until the child reaches 21 years), and 22 years (or until the child reaches 24 years) for Child Protection records. Staff records must be kept for 6 years after the member of leaves employment, before they can be erased. This</w:t>
      </w:r>
      <w:r>
        <w:rPr>
          <w:rFonts w:ascii="Century Gothic" w:eastAsia="Century Gothic" w:hAnsi="Century Gothic" w:cs="Century Gothic"/>
          <w:sz w:val="22"/>
          <w:szCs w:val="22"/>
        </w:rPr>
        <w:t xml:space="preserve"> data is archived securely onsite and shredded after the legal retention period.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 xml:space="preserve">4) The right to restrict processing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Parents, visitors and staff can object to processing their data. This means that records can be stored but must not be used in any way, f</w:t>
      </w:r>
      <w:r>
        <w:rPr>
          <w:rFonts w:ascii="Century Gothic" w:eastAsia="Century Gothic" w:hAnsi="Century Gothic" w:cs="Century Gothic"/>
          <w:sz w:val="22"/>
          <w:szCs w:val="22"/>
        </w:rPr>
        <w:t xml:space="preserve">or example reports or for communications.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5) T</w:t>
      </w:r>
      <w:r>
        <w:rPr>
          <w:rFonts w:ascii="Century Gothic" w:eastAsia="Century Gothic" w:hAnsi="Century Gothic" w:cs="Century Gothic"/>
          <w:color w:val="1170B7"/>
          <w:sz w:val="22"/>
          <w:szCs w:val="22"/>
        </w:rPr>
        <w:t xml:space="preserve">he right to data portability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The Sjaan Dance Academy requires data to be transferred from one IT system to another; such as from The Sjaan Dance Academyto the Local Authority, for performance BOPA licences, a</w:t>
      </w:r>
      <w:r>
        <w:rPr>
          <w:rFonts w:ascii="Century Gothic" w:eastAsia="Century Gothic" w:hAnsi="Century Gothic" w:cs="Century Gothic"/>
          <w:sz w:val="22"/>
          <w:szCs w:val="22"/>
        </w:rPr>
        <w:t xml:space="preserve">nd dance Associations for examinations. These recipients use secure file transfer systems and have their own policies and procedures in place in relation to GDPR.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 xml:space="preserve">6) The right to object </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Parents, visitors and staff can object to their data being used for </w:t>
      </w:r>
      <w:r>
        <w:rPr>
          <w:rFonts w:ascii="Century Gothic" w:eastAsia="Century Gothic" w:hAnsi="Century Gothic" w:cs="Century Gothic"/>
          <w:sz w:val="22"/>
          <w:szCs w:val="22"/>
        </w:rPr>
        <w:t xml:space="preserve">certain activities like marketing or research. </w:t>
      </w:r>
    </w:p>
    <w:p w:rsidR="003C3A19" w:rsidRDefault="003C3A19">
      <w:pPr>
        <w:pStyle w:val="normal0"/>
        <w:shd w:val="clear" w:color="auto" w:fill="FFFFFF"/>
        <w:spacing w:after="280"/>
        <w:rPr>
          <w:rFonts w:ascii="Century Gothic" w:eastAsia="Century Gothic" w:hAnsi="Century Gothic" w:cs="Century Gothic"/>
          <w:sz w:val="22"/>
          <w:szCs w:val="22"/>
        </w:rPr>
      </w:pPr>
    </w:p>
    <w:p w:rsidR="003C3A19" w:rsidRDefault="003C3A19">
      <w:pPr>
        <w:pStyle w:val="normal0"/>
        <w:shd w:val="clear" w:color="auto" w:fill="FFFFFF"/>
        <w:spacing w:after="280"/>
        <w:rPr>
          <w:rFonts w:ascii="Times New Roman" w:eastAsia="Times New Roman" w:hAnsi="Times New Roman" w:cs="Times New Roman"/>
          <w:sz w:val="20"/>
          <w:szCs w:val="20"/>
        </w:rPr>
      </w:pP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color w:val="4C7FBC"/>
          <w:sz w:val="22"/>
          <w:szCs w:val="22"/>
        </w:rPr>
        <w:t xml:space="preserve">7) The right not to be subject to automated decision-making including profiling.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Automated decisions and profiling are used for marketing based organisations. The Sjaan Dance Academy does not use personal </w:t>
      </w:r>
      <w:r>
        <w:rPr>
          <w:rFonts w:ascii="Century Gothic" w:eastAsia="Century Gothic" w:hAnsi="Century Gothic" w:cs="Century Gothic"/>
          <w:sz w:val="22"/>
          <w:szCs w:val="22"/>
        </w:rPr>
        <w:t xml:space="preserve">data for such purposes.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b/>
          <w:sz w:val="22"/>
          <w:szCs w:val="22"/>
        </w:rPr>
        <w:t xml:space="preserve">Storage and use of personal information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All paper copies of children's and staff records are kept in a locked in the Cupboard at The Sjaan Dance Academy in Hailsham. Members of staff can have access to these files but information taken from the files about individual children is confidential and</w:t>
      </w:r>
      <w:r>
        <w:rPr>
          <w:rFonts w:ascii="Century Gothic" w:eastAsia="Century Gothic" w:hAnsi="Century Gothic" w:cs="Century Gothic"/>
          <w:sz w:val="22"/>
          <w:szCs w:val="22"/>
        </w:rPr>
        <w:t xml:space="preserve"> apart from archiving, these records remain on site at all times. These records are shredded after the retention period.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Information about individual children is used in certain documents, such as, a weekly register, medication forms, referrals to externa</w:t>
      </w:r>
      <w:r>
        <w:rPr>
          <w:rFonts w:ascii="Century Gothic" w:eastAsia="Century Gothic" w:hAnsi="Century Gothic" w:cs="Century Gothic"/>
          <w:sz w:val="22"/>
          <w:szCs w:val="22"/>
        </w:rPr>
        <w:t xml:space="preserve">l agencies and disclosure forms. These documents include data such as children's names, date of birth and sometimes address. These records are shredded after the relevant retention period.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The Sjaan Dance Academy collects a large amount of personal data e</w:t>
      </w:r>
      <w:r>
        <w:rPr>
          <w:rFonts w:ascii="Century Gothic" w:eastAsia="Century Gothic" w:hAnsi="Century Gothic" w:cs="Century Gothic"/>
          <w:sz w:val="22"/>
          <w:szCs w:val="22"/>
        </w:rPr>
        <w:t xml:space="preserve">very year including; names and addresses of those on the waiting list. These records are shredded if the child does not attend or added to the child’s file and stored appropriately.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The Sjaan Dance Academy stores personal data held visually in photographs</w:t>
      </w:r>
      <w:r>
        <w:rPr>
          <w:rFonts w:ascii="Century Gothic" w:eastAsia="Century Gothic" w:hAnsi="Century Gothic" w:cs="Century Gothic"/>
          <w:sz w:val="22"/>
          <w:szCs w:val="22"/>
        </w:rPr>
        <w:t xml:space="preserve"> or video clips or as sound recordings, unless written consent has been obtained via the agreement form. No names are stored with images in photo albums, displays, on the website or on The Sjaan Dance Academy social media sites. </w:t>
      </w:r>
    </w:p>
    <w:p w:rsidR="003C3A19" w:rsidRDefault="007877B2">
      <w:pPr>
        <w:pStyle w:val="normal0"/>
        <w:shd w:val="clear" w:color="auto" w:fill="FFFFFF"/>
        <w:spacing w:after="280"/>
        <w:rPr>
          <w:rFonts w:ascii="Times New Roman" w:eastAsia="Times New Roman" w:hAnsi="Times New Roman" w:cs="Times New Roman"/>
          <w:sz w:val="20"/>
          <w:szCs w:val="20"/>
        </w:rPr>
      </w:pPr>
      <w:r>
        <w:rPr>
          <w:rFonts w:ascii="Century Gothic" w:eastAsia="Century Gothic" w:hAnsi="Century Gothic" w:cs="Century Gothic"/>
          <w:sz w:val="22"/>
          <w:szCs w:val="22"/>
        </w:rPr>
        <w:t xml:space="preserve">GDPR means that The Sjaan </w:t>
      </w:r>
      <w:r>
        <w:rPr>
          <w:rFonts w:ascii="Century Gothic" w:eastAsia="Century Gothic" w:hAnsi="Century Gothic" w:cs="Century Gothic"/>
          <w:sz w:val="22"/>
          <w:szCs w:val="22"/>
        </w:rPr>
        <w:t>Dance Academy must;</w:t>
      </w:r>
      <w:r>
        <w:rPr>
          <w:rFonts w:ascii="Century Gothic" w:eastAsia="Century Gothic" w:hAnsi="Century Gothic" w:cs="Century Gothic"/>
          <w:sz w:val="22"/>
          <w:szCs w:val="22"/>
        </w:rPr>
        <w:br/>
        <w:t>* Manage and process personal data properly</w:t>
      </w:r>
      <w:r>
        <w:rPr>
          <w:rFonts w:ascii="Century Gothic" w:eastAsia="Century Gothic" w:hAnsi="Century Gothic" w:cs="Century Gothic"/>
          <w:sz w:val="22"/>
          <w:szCs w:val="22"/>
        </w:rPr>
        <w:br/>
        <w:t>* Protect the individual’s rights to privacy</w:t>
      </w:r>
      <w:r>
        <w:rPr>
          <w:rFonts w:ascii="Century Gothic" w:eastAsia="Century Gothic" w:hAnsi="Century Gothic" w:cs="Century Gothic"/>
          <w:sz w:val="22"/>
          <w:szCs w:val="22"/>
        </w:rPr>
        <w:br/>
        <w:t xml:space="preserve">* Provide an individual with access to all personal information held on them </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Name ……………………………………………………….</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Students Name…………………………………………….</w:t>
      </w:r>
    </w:p>
    <w:p w:rsidR="003C3A19" w:rsidRDefault="007877B2">
      <w:pPr>
        <w:pStyle w:val="normal0"/>
        <w:shd w:val="clear" w:color="auto" w:fill="FFFFFF"/>
        <w:spacing w:after="280"/>
        <w:rPr>
          <w:rFonts w:ascii="Century Gothic" w:eastAsia="Century Gothic" w:hAnsi="Century Gothic" w:cs="Century Gothic"/>
          <w:sz w:val="22"/>
          <w:szCs w:val="22"/>
        </w:rPr>
      </w:pPr>
      <w:r>
        <w:rPr>
          <w:rFonts w:ascii="Century Gothic" w:eastAsia="Century Gothic" w:hAnsi="Century Gothic" w:cs="Century Gothic"/>
          <w:sz w:val="22"/>
          <w:szCs w:val="22"/>
        </w:rPr>
        <w:t>Sign …………</w:t>
      </w:r>
      <w:r>
        <w:rPr>
          <w:rFonts w:ascii="Century Gothic" w:eastAsia="Century Gothic" w:hAnsi="Century Gothic" w:cs="Century Gothic"/>
          <w:sz w:val="22"/>
          <w:szCs w:val="22"/>
        </w:rPr>
        <w:t>……………….</w:t>
      </w:r>
    </w:p>
    <w:p w:rsidR="003C3A19" w:rsidRDefault="007877B2">
      <w:pPr>
        <w:pStyle w:val="normal0"/>
        <w:shd w:val="clear" w:color="auto" w:fill="FFFFFF"/>
        <w:spacing w:after="280"/>
        <w:rPr>
          <w:rFonts w:ascii="Times New Roman" w:eastAsia="Times New Roman" w:hAnsi="Times New Roman" w:cs="Times New Roman"/>
          <w:sz w:val="52"/>
          <w:szCs w:val="52"/>
        </w:rPr>
      </w:pPr>
      <w:r>
        <w:rPr>
          <w:rFonts w:ascii="Arial" w:eastAsia="Arial" w:hAnsi="Arial" w:cs="Arial"/>
          <w:b/>
          <w:color w:val="7F7F7F"/>
          <w:sz w:val="52"/>
          <w:szCs w:val="52"/>
        </w:rPr>
        <w:lastRenderedPageBreak/>
        <w:t xml:space="preserve">Retention periods for records </w:t>
      </w:r>
    </w:p>
    <w:tbl>
      <w:tblPr>
        <w:tblStyle w:val="a"/>
        <w:tblW w:w="8330" w:type="dxa"/>
        <w:tblLayout w:type="fixed"/>
        <w:tblLook w:val="0400"/>
      </w:tblPr>
      <w:tblGrid>
        <w:gridCol w:w="2296"/>
        <w:gridCol w:w="2190"/>
        <w:gridCol w:w="1568"/>
        <w:gridCol w:w="2276"/>
      </w:tblGrid>
      <w:tr w:rsidR="003C3A19">
        <w:tc>
          <w:tcPr>
            <w:tcW w:w="229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Children’s records </w:t>
            </w:r>
          </w:p>
        </w:tc>
        <w:tc>
          <w:tcPr>
            <w:tcW w:w="2190"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Retention period </w:t>
            </w:r>
          </w:p>
        </w:tc>
        <w:tc>
          <w:tcPr>
            <w:tcW w:w="156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Status </w:t>
            </w:r>
          </w:p>
        </w:tc>
        <w:tc>
          <w:tcPr>
            <w:tcW w:w="227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Authority </w:t>
            </w:r>
          </w:p>
        </w:tc>
      </w:tr>
      <w:tr w:rsidR="003C3A19">
        <w:tc>
          <w:tcPr>
            <w:tcW w:w="2296" w:type="dxa"/>
            <w:vMerge w:val="restart"/>
            <w:tcBorders>
              <w:top w:val="single" w:sz="8" w:space="0" w:color="A5A5A5"/>
              <w:left w:val="single" w:sz="8" w:space="0" w:color="EAEAEA"/>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Children’s records - including registers, medication record books and accident record books pertaining to the children </w:t>
            </w:r>
          </w:p>
        </w:tc>
        <w:tc>
          <w:tcPr>
            <w:tcW w:w="2190"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A reasonable period of time after children have left the provision (e.g. until after the next Ofsted inspection) </w:t>
            </w:r>
          </w:p>
        </w:tc>
        <w:tc>
          <w:tcPr>
            <w:tcW w:w="156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27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Statutory Framework for the Early Years Foundation Stage (given legal force by Childcare Act 2006) </w:t>
            </w:r>
          </w:p>
        </w:tc>
      </w:tr>
      <w:tr w:rsidR="003C3A19">
        <w:tc>
          <w:tcPr>
            <w:tcW w:w="2296" w:type="dxa"/>
            <w:vMerge/>
            <w:tcBorders>
              <w:top w:val="single" w:sz="8" w:space="0" w:color="A5A5A5"/>
              <w:left w:val="single" w:sz="8" w:space="0" w:color="EAEAEA"/>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190"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Until the child reaches the age of 21 - or until the child reaches the age of 24 for child protection records </w:t>
            </w:r>
          </w:p>
        </w:tc>
        <w:tc>
          <w:tcPr>
            <w:tcW w:w="156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 tion </w:t>
            </w:r>
          </w:p>
        </w:tc>
        <w:tc>
          <w:tcPr>
            <w:tcW w:w="227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280"/>
              <w:rPr>
                <w:rFonts w:ascii="Times New Roman" w:eastAsia="Times New Roman" w:hAnsi="Times New Roman" w:cs="Times New Roman"/>
              </w:rPr>
            </w:pPr>
            <w:r>
              <w:rPr>
                <w:rFonts w:ascii="Arial" w:eastAsia="Arial" w:hAnsi="Arial" w:cs="Arial"/>
                <w:color w:val="7F7F7F"/>
              </w:rPr>
              <w:t xml:space="preserve">Limitation Act 1980 </w:t>
            </w:r>
          </w:p>
          <w:p w:rsidR="003C3A19" w:rsidRDefault="007877B2">
            <w:pPr>
              <w:pStyle w:val="normal0"/>
              <w:spacing w:after="100"/>
              <w:rPr>
                <w:rFonts w:ascii="Times New Roman" w:eastAsia="Times New Roman" w:hAnsi="Times New Roman" w:cs="Times New Roman"/>
              </w:rPr>
            </w:pPr>
            <w:r>
              <w:rPr>
                <w:rFonts w:ascii="Arial" w:eastAsia="Arial" w:hAnsi="Arial" w:cs="Arial"/>
                <w:color w:val="7F7F7F"/>
              </w:rPr>
              <w:t xml:space="preserve">Normal limitation rules (which mean that an individual can claim for negligently caused personal injury up to 3 years after, or deliberately caused personal injury up to 6 years after the event) are postponed until a child reaches 18 years of age </w:t>
            </w:r>
          </w:p>
        </w:tc>
      </w:tr>
      <w:tr w:rsidR="003C3A19">
        <w:tc>
          <w:tcPr>
            <w:tcW w:w="2296"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Records of any reportable death, injury, disease or dangerous occurrence </w:t>
            </w:r>
          </w:p>
        </w:tc>
        <w:tc>
          <w:tcPr>
            <w:tcW w:w="2190" w:type="dxa"/>
            <w:tcBorders>
              <w:top w:val="single" w:sz="8" w:space="0" w:color="A5A5A5"/>
              <w:left w:val="single" w:sz="8" w:space="0" w:color="A5A5A5"/>
              <w:bottom w:val="single" w:sz="4" w:space="0" w:color="A0A0A0"/>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1568" w:type="dxa"/>
            <w:vMerge w:val="restart"/>
            <w:tcBorders>
              <w:top w:val="single" w:sz="8" w:space="0" w:color="A5A5A5"/>
              <w:left w:val="single" w:sz="8" w:space="0" w:color="A5A5A5"/>
              <w:bottom w:val="single" w:sz="4"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276"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280"/>
              <w:rPr>
                <w:rFonts w:ascii="Arial" w:eastAsia="Arial" w:hAnsi="Arial" w:cs="Arial"/>
                <w:color w:val="7F7F7F"/>
              </w:rPr>
            </w:pPr>
            <w:r>
              <w:rPr>
                <w:rFonts w:ascii="Arial" w:eastAsia="Arial" w:hAnsi="Arial" w:cs="Arial"/>
                <w:color w:val="7F7F7F"/>
              </w:rPr>
              <w:t>The Reporting of Injuries, Diseases and Dangerous Occurrences Regulations 1995 (RIDDOR) (as amended)</w:t>
            </w:r>
          </w:p>
          <w:p w:rsidR="003C3A19" w:rsidRDefault="003C3A19">
            <w:pPr>
              <w:pStyle w:val="normal0"/>
              <w:spacing w:after="280"/>
              <w:rPr>
                <w:rFonts w:ascii="Arial" w:eastAsia="Arial" w:hAnsi="Arial" w:cs="Arial"/>
                <w:color w:val="7F7F7F"/>
              </w:rPr>
            </w:pPr>
          </w:p>
          <w:p w:rsidR="003C3A19" w:rsidRDefault="007877B2">
            <w:pPr>
              <w:pStyle w:val="normal0"/>
              <w:spacing w:after="100"/>
              <w:rPr>
                <w:rFonts w:ascii="Times New Roman" w:eastAsia="Times New Roman" w:hAnsi="Times New Roman" w:cs="Times New Roman"/>
              </w:rPr>
            </w:pPr>
            <w:r>
              <w:rPr>
                <w:rFonts w:ascii="Arial" w:eastAsia="Arial" w:hAnsi="Arial" w:cs="Arial"/>
                <w:color w:val="7F7F7F"/>
              </w:rPr>
              <w:t xml:space="preserve"> </w:t>
            </w:r>
          </w:p>
        </w:tc>
      </w:tr>
      <w:tr w:rsidR="003C3A19">
        <w:trPr>
          <w:trHeight w:val="320"/>
        </w:trPr>
        <w:tc>
          <w:tcPr>
            <w:tcW w:w="2296"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190" w:type="dxa"/>
            <w:vMerge w:val="restart"/>
            <w:tcBorders>
              <w:top w:val="single" w:sz="4" w:space="0" w:color="A0A0A0"/>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3 years after the date the record was made </w:t>
            </w:r>
          </w:p>
        </w:tc>
        <w:tc>
          <w:tcPr>
            <w:tcW w:w="1568" w:type="dxa"/>
            <w:vMerge/>
            <w:tcBorders>
              <w:top w:val="single" w:sz="8" w:space="0" w:color="A5A5A5"/>
              <w:left w:val="single" w:sz="8" w:space="0" w:color="A5A5A5"/>
              <w:bottom w:val="single" w:sz="4"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276"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296"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190" w:type="dxa"/>
            <w:vMerge/>
            <w:tcBorders>
              <w:top w:val="single" w:sz="4" w:space="0" w:color="A0A0A0"/>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568" w:type="dxa"/>
            <w:tcBorders>
              <w:top w:val="single" w:sz="4"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276"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29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Personnel records </w:t>
            </w:r>
          </w:p>
        </w:tc>
        <w:tc>
          <w:tcPr>
            <w:tcW w:w="2190"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Retention period </w:t>
            </w:r>
          </w:p>
        </w:tc>
        <w:tc>
          <w:tcPr>
            <w:tcW w:w="156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Status </w:t>
            </w:r>
          </w:p>
        </w:tc>
        <w:tc>
          <w:tcPr>
            <w:tcW w:w="2276"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Authority </w:t>
            </w:r>
          </w:p>
        </w:tc>
      </w:tr>
    </w:tbl>
    <w:p w:rsidR="003C3A19" w:rsidRDefault="007877B2">
      <w:pPr>
        <w:pStyle w:val="normal0"/>
        <w:shd w:val="clear" w:color="auto" w:fill="FFFFFF"/>
        <w:spacing w:before="100" w:after="280"/>
        <w:rPr>
          <w:rFonts w:ascii="Times New Roman" w:eastAsia="Times New Roman" w:hAnsi="Times New Roman" w:cs="Times New Roman"/>
        </w:rPr>
      </w:pPr>
      <w:r>
        <w:rPr>
          <w:rFonts w:ascii="Merriweather Sans" w:eastAsia="Merriweather Sans" w:hAnsi="Merriweather Sans" w:cs="Merriweather Sans"/>
        </w:rPr>
        <w:t xml:space="preserve"> </w:t>
      </w:r>
    </w:p>
    <w:tbl>
      <w:tblPr>
        <w:tblStyle w:val="a0"/>
        <w:tblW w:w="8330" w:type="dxa"/>
        <w:tblLayout w:type="fixed"/>
        <w:tblLook w:val="0400"/>
      </w:tblPr>
      <w:tblGrid>
        <w:gridCol w:w="2806"/>
        <w:gridCol w:w="1748"/>
        <w:gridCol w:w="1608"/>
        <w:gridCol w:w="2168"/>
      </w:tblGrid>
      <w:tr w:rsidR="003C3A19">
        <w:tc>
          <w:tcPr>
            <w:tcW w:w="2806" w:type="dxa"/>
            <w:tcBorders>
              <w:top w:val="single" w:sz="8" w:space="0" w:color="A5A5A5"/>
              <w:left w:val="single" w:sz="8" w:space="0" w:color="A5A5A5"/>
              <w:bottom w:val="single" w:sz="8" w:space="0" w:color="A5A5A5"/>
              <w:right w:val="single" w:sz="8" w:space="0" w:color="A5A5A5"/>
            </w:tcBorders>
            <w:shd w:val="clear" w:color="auto" w:fill="E8EAF2"/>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lastRenderedPageBreak/>
              <w:t xml:space="preserve">Personnel files and training records (including disciplinary records and working time records) </w:t>
            </w:r>
          </w:p>
        </w:tc>
        <w:tc>
          <w:tcPr>
            <w:tcW w:w="1748" w:type="dxa"/>
            <w:tcBorders>
              <w:top w:val="single" w:sz="8" w:space="0" w:color="A5A5A5"/>
              <w:left w:val="single" w:sz="8" w:space="0" w:color="A5A5A5"/>
              <w:bottom w:val="single" w:sz="8" w:space="0" w:color="A5A5A5"/>
              <w:right w:val="single" w:sz="8" w:space="0" w:color="A5A5A5"/>
            </w:tcBorders>
            <w:shd w:val="clear" w:color="auto" w:fill="E8EAF2"/>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years after employment ceases </w:t>
            </w:r>
          </w:p>
        </w:tc>
        <w:tc>
          <w:tcPr>
            <w:tcW w:w="1608" w:type="dxa"/>
            <w:tcBorders>
              <w:top w:val="single" w:sz="8" w:space="0" w:color="A5A5A5"/>
              <w:left w:val="single" w:sz="8" w:space="0" w:color="A5A5A5"/>
              <w:bottom w:val="single" w:sz="8" w:space="0" w:color="A5A5A5"/>
              <w:right w:val="single" w:sz="8" w:space="0" w:color="A5A5A5"/>
            </w:tcBorders>
            <w:shd w:val="clear" w:color="auto" w:fill="E8EAF2"/>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 tion </w:t>
            </w:r>
          </w:p>
        </w:tc>
        <w:tc>
          <w:tcPr>
            <w:tcW w:w="2168" w:type="dxa"/>
            <w:tcBorders>
              <w:top w:val="single" w:sz="8" w:space="0" w:color="A5A5A5"/>
              <w:left w:val="single" w:sz="8" w:space="0" w:color="A5A5A5"/>
              <w:bottom w:val="single" w:sz="8" w:space="0" w:color="A5A5A5"/>
              <w:right w:val="single" w:sz="8" w:space="0" w:color="A5A5A5"/>
            </w:tcBorders>
            <w:shd w:val="clear" w:color="auto" w:fill="E8EAF2"/>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Chartered Institute of Personnel and Development </w:t>
            </w:r>
          </w:p>
        </w:tc>
      </w:tr>
    </w:tbl>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1"/>
        <w:tblW w:w="8330" w:type="dxa"/>
        <w:tblLayout w:type="fixed"/>
        <w:tblLook w:val="0400"/>
      </w:tblPr>
      <w:tblGrid>
        <w:gridCol w:w="1811"/>
        <w:gridCol w:w="1225"/>
        <w:gridCol w:w="1622"/>
        <w:gridCol w:w="3672"/>
      </w:tblGrid>
      <w:tr w:rsidR="003C3A19">
        <w:tc>
          <w:tcPr>
            <w:tcW w:w="1811" w:type="dxa"/>
            <w:tcBorders>
              <w:top w:val="single" w:sz="8" w:space="0" w:color="A5A5A5"/>
              <w:left w:val="single" w:sz="8" w:space="0" w:color="A5A5A5"/>
              <w:bottom w:val="single" w:sz="8" w:space="0" w:color="A3A3A3"/>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DBS check </w:t>
            </w:r>
          </w:p>
        </w:tc>
        <w:tc>
          <w:tcPr>
            <w:tcW w:w="122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months </w:t>
            </w:r>
          </w:p>
        </w:tc>
        <w:tc>
          <w:tcPr>
            <w:tcW w:w="162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Recommendat ion </w:t>
            </w:r>
          </w:p>
        </w:tc>
        <w:tc>
          <w:tcPr>
            <w:tcW w:w="367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280"/>
              <w:rPr>
                <w:rFonts w:ascii="Times New Roman" w:eastAsia="Times New Roman" w:hAnsi="Times New Roman" w:cs="Times New Roman"/>
              </w:rPr>
            </w:pPr>
            <w:r>
              <w:rPr>
                <w:rFonts w:ascii="Arial" w:eastAsia="Arial" w:hAnsi="Arial" w:cs="Arial"/>
                <w:color w:val="7F7F7F"/>
              </w:rPr>
              <w:t xml:space="preserve">DBS Code of Practice </w:t>
            </w:r>
          </w:p>
          <w:p w:rsidR="003C3A19" w:rsidRDefault="007877B2">
            <w:pPr>
              <w:pStyle w:val="normal0"/>
              <w:spacing w:after="100"/>
              <w:rPr>
                <w:rFonts w:ascii="Times New Roman" w:eastAsia="Times New Roman" w:hAnsi="Times New Roman" w:cs="Times New Roman"/>
              </w:rPr>
            </w:pPr>
            <w:r>
              <w:rPr>
                <w:rFonts w:ascii="Arial" w:eastAsia="Arial" w:hAnsi="Arial" w:cs="Arial"/>
                <w:color w:val="7F7F7F"/>
              </w:rPr>
              <w:t>The following basic information should be retained after the certificate is destroyed: the date of issue; the name of the subject; the type of disclosure; the position for which the disclosure wa</w:t>
            </w:r>
            <w:r>
              <w:rPr>
                <w:rFonts w:ascii="Arial" w:eastAsia="Arial" w:hAnsi="Arial" w:cs="Arial"/>
                <w:color w:val="7F7F7F"/>
              </w:rPr>
              <w:t xml:space="preserve">s requested; the unique reference number; and the details of the recruitment decision taken </w:t>
            </w:r>
          </w:p>
        </w:tc>
      </w:tr>
      <w:tr w:rsidR="003C3A19">
        <w:tc>
          <w:tcPr>
            <w:tcW w:w="8330" w:type="dxa"/>
            <w:gridSpan w:val="4"/>
            <w:tcBorders>
              <w:top w:val="single" w:sz="8" w:space="0" w:color="A5A5A5"/>
              <w:left w:val="single" w:sz="8" w:space="0" w:color="A5A5A5"/>
              <w:bottom w:val="single" w:sz="8" w:space="0" w:color="A5A5A5"/>
              <w:right w:val="single" w:sz="8" w:space="0" w:color="FCFCFC"/>
            </w:tcBorders>
            <w:shd w:val="clear" w:color="auto" w:fill="E8EAF2"/>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i/>
                <w:color w:val="7F7F7F"/>
              </w:rPr>
              <w:t xml:space="preserve">Pay </w:t>
            </w:r>
          </w:p>
        </w:tc>
      </w:tr>
      <w:tr w:rsidR="003C3A19">
        <w:tc>
          <w:tcPr>
            <w:tcW w:w="1811"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Wage/salary records (including overtime, bonuses and expenses) </w:t>
            </w:r>
          </w:p>
        </w:tc>
        <w:tc>
          <w:tcPr>
            <w:tcW w:w="122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years </w:t>
            </w:r>
          </w:p>
        </w:tc>
        <w:tc>
          <w:tcPr>
            <w:tcW w:w="162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367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Taxes Management Act 1970 </w:t>
            </w:r>
          </w:p>
        </w:tc>
      </w:tr>
      <w:tr w:rsidR="003C3A19">
        <w:tc>
          <w:tcPr>
            <w:tcW w:w="1811"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Statutory Maternity Pay (SMP) records </w:t>
            </w:r>
          </w:p>
        </w:tc>
        <w:tc>
          <w:tcPr>
            <w:tcW w:w="122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3 years after the end of the tax year to which they relate </w:t>
            </w:r>
          </w:p>
        </w:tc>
        <w:tc>
          <w:tcPr>
            <w:tcW w:w="162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367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Statutory Maternity Pay (General) Regulations 1986 </w:t>
            </w:r>
          </w:p>
        </w:tc>
      </w:tr>
      <w:tr w:rsidR="003C3A19">
        <w:tc>
          <w:tcPr>
            <w:tcW w:w="1811"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Statutory Sick Pay (SSP) records </w:t>
            </w:r>
          </w:p>
        </w:tc>
        <w:tc>
          <w:tcPr>
            <w:tcW w:w="122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3 years after the end of the tax year to which they relate </w:t>
            </w:r>
          </w:p>
        </w:tc>
        <w:tc>
          <w:tcPr>
            <w:tcW w:w="162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367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Statutory Sick </w:t>
            </w:r>
            <w:r>
              <w:rPr>
                <w:rFonts w:ascii="Arial" w:eastAsia="Arial" w:hAnsi="Arial" w:cs="Arial"/>
                <w:color w:val="7F7F7F"/>
              </w:rPr>
              <w:t xml:space="preserve">Pay (General) Regulations 1982 </w:t>
            </w:r>
          </w:p>
        </w:tc>
      </w:tr>
    </w:tbl>
    <w:p w:rsidR="003C3A19" w:rsidRDefault="003C3A19">
      <w:pPr>
        <w:pStyle w:val="normal0"/>
        <w:shd w:val="clear" w:color="auto" w:fill="FFFFFF"/>
        <w:spacing w:before="100" w:after="280"/>
        <w:rPr>
          <w:rFonts w:ascii="Times New Roman" w:eastAsia="Times New Roman" w:hAnsi="Times New Roman" w:cs="Times New Roman"/>
        </w:rPr>
      </w:pPr>
    </w:p>
    <w:p w:rsidR="003C3A19" w:rsidRDefault="003C3A19">
      <w:pPr>
        <w:pStyle w:val="normal0"/>
        <w:shd w:val="clear" w:color="auto" w:fill="FFFFFF"/>
        <w:spacing w:after="280"/>
        <w:rPr>
          <w:rFonts w:ascii="Times New Roman" w:eastAsia="Times New Roman" w:hAnsi="Times New Roman" w:cs="Times New Roman"/>
        </w:rPr>
      </w:pPr>
    </w:p>
    <w:tbl>
      <w:tblPr>
        <w:tblStyle w:val="a2"/>
        <w:tblW w:w="8330" w:type="dxa"/>
        <w:tblLayout w:type="fixed"/>
        <w:tblLook w:val="0400"/>
      </w:tblPr>
      <w:tblGrid>
        <w:gridCol w:w="2212"/>
        <w:gridCol w:w="2223"/>
        <w:gridCol w:w="1557"/>
        <w:gridCol w:w="2338"/>
      </w:tblGrid>
      <w:tr w:rsidR="003C3A19">
        <w:tc>
          <w:tcPr>
            <w:tcW w:w="2212"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bookmarkStart w:id="0" w:name="_gjdgxs" w:colFirst="0" w:colLast="0"/>
            <w:bookmarkEnd w:id="0"/>
            <w:r>
              <w:rPr>
                <w:rFonts w:ascii="Arial" w:eastAsia="Arial" w:hAnsi="Arial" w:cs="Arial"/>
                <w:color w:val="7F7F7F"/>
              </w:rPr>
              <w:lastRenderedPageBreak/>
              <w:t xml:space="preserve">Income tax and National Insurance returns/records </w:t>
            </w:r>
          </w:p>
        </w:tc>
        <w:tc>
          <w:tcPr>
            <w:tcW w:w="2223" w:type="dxa"/>
            <w:tcBorders>
              <w:top w:val="single" w:sz="8" w:space="0" w:color="A5A5A5"/>
              <w:left w:val="single" w:sz="8" w:space="0" w:color="A5A5A5"/>
              <w:bottom w:val="single" w:sz="4" w:space="0" w:color="A0A0A0"/>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1557" w:type="dxa"/>
            <w:vMerge w:val="restart"/>
            <w:tcBorders>
              <w:top w:val="single" w:sz="8" w:space="0" w:color="A5A5A5"/>
              <w:left w:val="single" w:sz="8" w:space="0" w:color="A5A5A5"/>
              <w:bottom w:val="single" w:sz="4"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338"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Income Tax (Employments) Regulations 1993 (as amended) </w:t>
            </w:r>
          </w:p>
        </w:tc>
      </w:tr>
      <w:tr w:rsidR="003C3A19">
        <w:trPr>
          <w:trHeight w:val="320"/>
        </w:trPr>
        <w:tc>
          <w:tcPr>
            <w:tcW w:w="2212"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vMerge w:val="restart"/>
            <w:tcBorders>
              <w:top w:val="single" w:sz="4" w:space="0" w:color="A0A0A0"/>
              <w:left w:val="single" w:sz="8" w:space="0" w:color="A5A5A5"/>
              <w:bottom w:val="single" w:sz="4" w:space="0" w:color="A0A0A0"/>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At least 3 years after the end of the tax year to which they relate </w:t>
            </w:r>
          </w:p>
        </w:tc>
        <w:tc>
          <w:tcPr>
            <w:tcW w:w="1557" w:type="dxa"/>
            <w:vMerge/>
            <w:tcBorders>
              <w:top w:val="single" w:sz="8" w:space="0" w:color="A5A5A5"/>
              <w:left w:val="single" w:sz="8" w:space="0" w:color="A5A5A5"/>
              <w:bottom w:val="single" w:sz="4"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338"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212"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vMerge/>
            <w:tcBorders>
              <w:top w:val="single" w:sz="4" w:space="0" w:color="A0A0A0"/>
              <w:left w:val="single" w:sz="8" w:space="0" w:color="A5A5A5"/>
              <w:bottom w:val="single" w:sz="4" w:space="0" w:color="A0A0A0"/>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tcBorders>
              <w:top w:val="single" w:sz="4" w:space="0" w:color="A5A5A5"/>
              <w:left w:val="single" w:sz="8" w:space="0" w:color="A5A5A5"/>
              <w:bottom w:val="single" w:sz="4"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338"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rPr>
          <w:trHeight w:val="320"/>
        </w:trPr>
        <w:tc>
          <w:tcPr>
            <w:tcW w:w="2212"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vMerge/>
            <w:tcBorders>
              <w:top w:val="single" w:sz="4" w:space="0" w:color="A0A0A0"/>
              <w:left w:val="single" w:sz="8" w:space="0" w:color="A5A5A5"/>
              <w:bottom w:val="single" w:sz="4" w:space="0" w:color="A0A0A0"/>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557" w:type="dxa"/>
            <w:vMerge w:val="restart"/>
            <w:tcBorders>
              <w:top w:val="single" w:sz="4" w:space="0" w:color="A5A5A5"/>
              <w:left w:val="single" w:sz="8" w:space="0" w:color="A5A5A5"/>
              <w:bottom w:val="single" w:sz="8"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338"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212"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223" w:type="dxa"/>
            <w:tcBorders>
              <w:top w:val="single" w:sz="4" w:space="0" w:color="A0A0A0"/>
              <w:left w:val="single" w:sz="8" w:space="0" w:color="A5A5A5"/>
              <w:bottom w:val="single" w:sz="8"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1557" w:type="dxa"/>
            <w:vMerge/>
            <w:tcBorders>
              <w:top w:val="single" w:sz="4"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338"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212" w:type="dxa"/>
            <w:tcBorders>
              <w:top w:val="single" w:sz="8" w:space="0" w:color="A5A5A5"/>
              <w:left w:val="single" w:sz="8" w:space="0" w:color="A5A5A5"/>
              <w:bottom w:val="single" w:sz="36"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Redundancy details, calculations of payments, refunds, notification to the Secretary of State </w:t>
            </w:r>
          </w:p>
        </w:tc>
        <w:tc>
          <w:tcPr>
            <w:tcW w:w="2223" w:type="dxa"/>
            <w:tcBorders>
              <w:top w:val="single" w:sz="8" w:space="0" w:color="A5A5A5"/>
              <w:left w:val="single" w:sz="8" w:space="0" w:color="A5A5A5"/>
              <w:bottom w:val="single" w:sz="36" w:space="0" w:color="D8D8D8"/>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years after employment ends </w:t>
            </w:r>
          </w:p>
        </w:tc>
        <w:tc>
          <w:tcPr>
            <w:tcW w:w="1557" w:type="dxa"/>
            <w:tcBorders>
              <w:top w:val="single" w:sz="8" w:space="0" w:color="A5A5A5"/>
              <w:left w:val="single" w:sz="8" w:space="0" w:color="A5A5A5"/>
              <w:bottom w:val="single" w:sz="36" w:space="0" w:color="D6D6D6"/>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 tion </w:t>
            </w:r>
          </w:p>
        </w:tc>
        <w:tc>
          <w:tcPr>
            <w:tcW w:w="2338" w:type="dxa"/>
            <w:tcBorders>
              <w:top w:val="single" w:sz="8" w:space="0" w:color="A5A5A5"/>
              <w:left w:val="single" w:sz="8" w:space="0" w:color="A5A5A5"/>
              <w:bottom w:val="single" w:sz="36" w:space="0" w:color="D6D6D6"/>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Chartered Institute of Personnel and Development </w:t>
            </w:r>
          </w:p>
        </w:tc>
      </w:tr>
      <w:tr w:rsidR="003C3A19">
        <w:tc>
          <w:tcPr>
            <w:tcW w:w="8330" w:type="dxa"/>
            <w:gridSpan w:val="4"/>
            <w:tcBorders>
              <w:top w:val="single" w:sz="36" w:space="0" w:color="CCCCCC"/>
              <w:left w:val="single" w:sz="8" w:space="0" w:color="A5A5A5"/>
              <w:bottom w:val="single" w:sz="8" w:space="0" w:color="A5A5A5"/>
              <w:right w:val="single" w:sz="8" w:space="0" w:color="FCFCFC"/>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i/>
                <w:color w:val="7F7F7F"/>
              </w:rPr>
              <w:t xml:space="preserve">Health and safety </w:t>
            </w:r>
          </w:p>
        </w:tc>
      </w:tr>
      <w:tr w:rsidR="003C3A19">
        <w:tc>
          <w:tcPr>
            <w:tcW w:w="221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Staff accident records (for organisations with 10 or more employees) </w:t>
            </w:r>
          </w:p>
        </w:tc>
        <w:tc>
          <w:tcPr>
            <w:tcW w:w="2223"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3 years after the date the record was made (there are separate rules for the recording of accidents involving hazardous substances) </w:t>
            </w:r>
          </w:p>
        </w:tc>
        <w:tc>
          <w:tcPr>
            <w:tcW w:w="155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33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Social Security (Claims and Payments) Re</w:t>
            </w:r>
            <w:r>
              <w:rPr>
                <w:rFonts w:ascii="Arial" w:eastAsia="Arial" w:hAnsi="Arial" w:cs="Arial"/>
                <w:color w:val="7F7F7F"/>
              </w:rPr>
              <w:t xml:space="preserve">gulations 1979 </w:t>
            </w:r>
          </w:p>
        </w:tc>
      </w:tr>
      <w:tr w:rsidR="003C3A19">
        <w:tc>
          <w:tcPr>
            <w:tcW w:w="2212"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Records of any reportable death, injury, disease or dangerous occurrence </w:t>
            </w:r>
          </w:p>
        </w:tc>
        <w:tc>
          <w:tcPr>
            <w:tcW w:w="2223"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3 years after the date the record was made </w:t>
            </w:r>
          </w:p>
        </w:tc>
        <w:tc>
          <w:tcPr>
            <w:tcW w:w="155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33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Reporting of Injuries, Diseases and Dangerous Occurrences Regulations 1995 (RIDDOR) (as amended) </w:t>
            </w:r>
          </w:p>
        </w:tc>
      </w:tr>
    </w:tbl>
    <w:p w:rsidR="003C3A19" w:rsidRDefault="007877B2">
      <w:pPr>
        <w:pStyle w:val="normal0"/>
        <w:shd w:val="clear" w:color="auto" w:fill="FFFFFF"/>
        <w:spacing w:before="100" w:after="280"/>
        <w:rPr>
          <w:rFonts w:ascii="Times New Roman" w:eastAsia="Times New Roman" w:hAnsi="Times New Roman" w:cs="Times New Roman"/>
        </w:rPr>
      </w:pPr>
      <w:r>
        <w:rPr>
          <w:rFonts w:ascii="Merriweather Sans" w:eastAsia="Merriweather Sans" w:hAnsi="Merriweather Sans" w:cs="Merriweather Sans"/>
        </w:rPr>
        <w:t xml:space="preserve"> </w:t>
      </w:r>
    </w:p>
    <w:tbl>
      <w:tblPr>
        <w:tblStyle w:val="a3"/>
        <w:tblW w:w="8329" w:type="dxa"/>
        <w:tblLayout w:type="fixed"/>
        <w:tblLook w:val="0400"/>
      </w:tblPr>
      <w:tblGrid>
        <w:gridCol w:w="2723"/>
        <w:gridCol w:w="2007"/>
        <w:gridCol w:w="1565"/>
        <w:gridCol w:w="2034"/>
      </w:tblGrid>
      <w:tr w:rsidR="003C3A19">
        <w:tc>
          <w:tcPr>
            <w:tcW w:w="272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Accident/medical records as specified by the Control of Substances Hazardous to Health Regulations (COSHH) </w:t>
            </w:r>
          </w:p>
        </w:tc>
        <w:tc>
          <w:tcPr>
            <w:tcW w:w="200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40 years from the date of the last entry </w:t>
            </w:r>
          </w:p>
        </w:tc>
        <w:tc>
          <w:tcPr>
            <w:tcW w:w="156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03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Control of Substances Hazardous to Health Regulations 2002 (COSHH) </w:t>
            </w:r>
          </w:p>
        </w:tc>
      </w:tr>
      <w:tr w:rsidR="003C3A19">
        <w:tc>
          <w:tcPr>
            <w:tcW w:w="272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Assessments under Health and Safety </w:t>
            </w:r>
            <w:r>
              <w:rPr>
                <w:rFonts w:ascii="Arial" w:eastAsia="Arial" w:hAnsi="Arial" w:cs="Arial"/>
                <w:color w:val="7F7F7F"/>
              </w:rPr>
              <w:lastRenderedPageBreak/>
              <w:t xml:space="preserve">Regulations and records of consultations with safety representatives </w:t>
            </w:r>
          </w:p>
        </w:tc>
        <w:tc>
          <w:tcPr>
            <w:tcW w:w="200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lastRenderedPageBreak/>
              <w:t xml:space="preserve">Permanently </w:t>
            </w:r>
          </w:p>
        </w:tc>
        <w:tc>
          <w:tcPr>
            <w:tcW w:w="156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 tion </w:t>
            </w:r>
          </w:p>
        </w:tc>
        <w:tc>
          <w:tcPr>
            <w:tcW w:w="203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Chartered Institute of Personnel and </w:t>
            </w:r>
            <w:r>
              <w:rPr>
                <w:rFonts w:ascii="Arial" w:eastAsia="Arial" w:hAnsi="Arial" w:cs="Arial"/>
                <w:color w:val="7F7F7F"/>
              </w:rPr>
              <w:lastRenderedPageBreak/>
              <w:t xml:space="preserve">Development </w:t>
            </w:r>
          </w:p>
        </w:tc>
      </w:tr>
      <w:tr w:rsidR="003C3A19">
        <w:tc>
          <w:tcPr>
            <w:tcW w:w="2724"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lastRenderedPageBreak/>
              <w:t xml:space="preserve">Financial records </w:t>
            </w:r>
          </w:p>
        </w:tc>
        <w:tc>
          <w:tcPr>
            <w:tcW w:w="2007" w:type="dxa"/>
            <w:vMerge w:val="restart"/>
            <w:tcBorders>
              <w:top w:val="single" w:sz="8" w:space="0" w:color="A5A5A5"/>
              <w:left w:val="single" w:sz="8" w:space="0" w:color="A5A5A5"/>
              <w:bottom w:val="single" w:sz="4" w:space="0" w:color="A0A0A0"/>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Retention period </w:t>
            </w:r>
          </w:p>
        </w:tc>
        <w:tc>
          <w:tcPr>
            <w:tcW w:w="1565" w:type="dxa"/>
            <w:tcBorders>
              <w:top w:val="single" w:sz="8" w:space="0" w:color="A5A5A5"/>
              <w:left w:val="single" w:sz="8" w:space="0" w:color="A5A5A5"/>
              <w:bottom w:val="single" w:sz="4"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Status </w:t>
            </w:r>
          </w:p>
        </w:tc>
        <w:tc>
          <w:tcPr>
            <w:tcW w:w="2034"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Authority </w:t>
            </w:r>
          </w:p>
        </w:tc>
      </w:tr>
      <w:tr w:rsidR="003C3A19">
        <w:trPr>
          <w:trHeight w:val="320"/>
        </w:trPr>
        <w:tc>
          <w:tcPr>
            <w:tcW w:w="2724"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007" w:type="dxa"/>
            <w:vMerge/>
            <w:tcBorders>
              <w:top w:val="single" w:sz="8" w:space="0" w:color="A5A5A5"/>
              <w:left w:val="single" w:sz="8" w:space="0" w:color="A5A5A5"/>
              <w:bottom w:val="single" w:sz="4" w:space="0" w:color="A0A0A0"/>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565" w:type="dxa"/>
            <w:vMerge w:val="restart"/>
            <w:tcBorders>
              <w:top w:val="single" w:sz="4" w:space="0" w:color="A5A5A5"/>
              <w:left w:val="single" w:sz="8" w:space="0" w:color="A5A5A5"/>
              <w:bottom w:val="single" w:sz="8"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034"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724"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007" w:type="dxa"/>
            <w:tcBorders>
              <w:top w:val="single" w:sz="4" w:space="0" w:color="A0A0A0"/>
              <w:left w:val="single" w:sz="8" w:space="0" w:color="A5A5A5"/>
              <w:bottom w:val="single" w:sz="8"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1565" w:type="dxa"/>
            <w:vMerge/>
            <w:tcBorders>
              <w:top w:val="single" w:sz="4"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034"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2724" w:type="dxa"/>
            <w:tcBorders>
              <w:top w:val="single" w:sz="8" w:space="0" w:color="A5A5A5"/>
              <w:left w:val="single" w:sz="8" w:space="0" w:color="A5A5A5"/>
              <w:bottom w:val="single" w:sz="36"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Accounting records </w:t>
            </w:r>
          </w:p>
        </w:tc>
        <w:tc>
          <w:tcPr>
            <w:tcW w:w="2007" w:type="dxa"/>
            <w:tcBorders>
              <w:top w:val="single" w:sz="8" w:space="0" w:color="A5A5A5"/>
              <w:left w:val="single" w:sz="8" w:space="0" w:color="A5A5A5"/>
              <w:bottom w:val="single" w:sz="36"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3 years from the end of the financial year for private companies, 6 years for PLC</w:t>
            </w:r>
          </w:p>
        </w:tc>
        <w:tc>
          <w:tcPr>
            <w:tcW w:w="1565" w:type="dxa"/>
            <w:tcBorders>
              <w:top w:val="single" w:sz="8" w:space="0" w:color="A5A5A5"/>
              <w:left w:val="single" w:sz="8" w:space="0" w:color="A5A5A5"/>
              <w:bottom w:val="single" w:sz="36"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034" w:type="dxa"/>
            <w:tcBorders>
              <w:top w:val="single" w:sz="8" w:space="0" w:color="A5A5A5"/>
              <w:left w:val="single" w:sz="8" w:space="0" w:color="A5A5A5"/>
              <w:bottom w:val="single" w:sz="36"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Companies Act 2006 </w:t>
            </w:r>
          </w:p>
        </w:tc>
      </w:tr>
      <w:tr w:rsidR="003C3A19">
        <w:tc>
          <w:tcPr>
            <w:tcW w:w="2724" w:type="dxa"/>
            <w:vMerge w:val="restart"/>
            <w:tcBorders>
              <w:top w:val="single" w:sz="36" w:space="0" w:color="A5A5A5"/>
              <w:left w:val="single" w:sz="8" w:space="0" w:color="DDDDDD"/>
              <w:bottom w:val="single" w:sz="8"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007" w:type="dxa"/>
            <w:tcBorders>
              <w:top w:val="single" w:sz="36" w:space="0" w:color="A5A5A5"/>
              <w:left w:val="single" w:sz="8" w:space="0" w:color="A3A3A3"/>
              <w:bottom w:val="single" w:sz="8" w:space="0" w:color="A5A5A5"/>
              <w:right w:val="single" w:sz="8" w:space="0" w:color="A3A3A3"/>
            </w:tcBorders>
            <w:vAlign w:val="center"/>
          </w:tcPr>
          <w:p w:rsidR="003C3A19" w:rsidRDefault="003C3A19">
            <w:pPr>
              <w:pStyle w:val="normal0"/>
              <w:spacing w:before="100" w:after="100"/>
              <w:rPr>
                <w:rFonts w:ascii="Times New Roman" w:eastAsia="Times New Roman" w:hAnsi="Times New Roman" w:cs="Times New Roman"/>
              </w:rPr>
            </w:pPr>
          </w:p>
        </w:tc>
        <w:tc>
          <w:tcPr>
            <w:tcW w:w="1565" w:type="dxa"/>
            <w:tcBorders>
              <w:top w:val="single" w:sz="36" w:space="0" w:color="A5A5A5"/>
              <w:left w:val="single" w:sz="8" w:space="0" w:color="A3A3A3"/>
              <w:bottom w:val="single" w:sz="8" w:space="0" w:color="A5A5A5"/>
              <w:right w:val="single" w:sz="8" w:space="0" w:color="A3A3A3"/>
            </w:tcBorders>
            <w:vAlign w:val="center"/>
          </w:tcPr>
          <w:p w:rsidR="003C3A19" w:rsidRDefault="003C3A19">
            <w:pPr>
              <w:pStyle w:val="normal0"/>
              <w:rPr>
                <w:rFonts w:ascii="Times New Roman" w:eastAsia="Times New Roman" w:hAnsi="Times New Roman" w:cs="Times New Roman"/>
              </w:rPr>
            </w:pPr>
          </w:p>
        </w:tc>
        <w:tc>
          <w:tcPr>
            <w:tcW w:w="2034" w:type="dxa"/>
            <w:tcBorders>
              <w:top w:val="single" w:sz="36" w:space="0" w:color="A5A5A5"/>
              <w:left w:val="single" w:sz="8" w:space="0" w:color="A3A3A3"/>
              <w:bottom w:val="single" w:sz="8" w:space="0" w:color="A5A5A5"/>
              <w:right w:val="single" w:sz="8" w:space="0" w:color="A3A3A3"/>
            </w:tcBorders>
            <w:vAlign w:val="center"/>
          </w:tcPr>
          <w:p w:rsidR="003C3A19" w:rsidRDefault="003C3A19">
            <w:pPr>
              <w:pStyle w:val="normal0"/>
              <w:rPr>
                <w:rFonts w:ascii="Times New Roman" w:eastAsia="Times New Roman" w:hAnsi="Times New Roman" w:cs="Times New Roman"/>
              </w:rPr>
            </w:pPr>
          </w:p>
        </w:tc>
      </w:tr>
      <w:tr w:rsidR="003C3A19">
        <w:tc>
          <w:tcPr>
            <w:tcW w:w="2724" w:type="dxa"/>
            <w:vMerge/>
            <w:tcBorders>
              <w:top w:val="single" w:sz="36" w:space="0" w:color="A5A5A5"/>
              <w:left w:val="single" w:sz="8" w:space="0" w:color="DDDDDD"/>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00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years for charities </w:t>
            </w:r>
          </w:p>
        </w:tc>
        <w:tc>
          <w:tcPr>
            <w:tcW w:w="156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03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Charities Act 2011 </w:t>
            </w:r>
          </w:p>
        </w:tc>
      </w:tr>
      <w:tr w:rsidR="003C3A19">
        <w:tc>
          <w:tcPr>
            <w:tcW w:w="272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Administration records </w:t>
            </w:r>
          </w:p>
        </w:tc>
        <w:tc>
          <w:tcPr>
            <w:tcW w:w="200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Retention period </w:t>
            </w:r>
          </w:p>
        </w:tc>
        <w:tc>
          <w:tcPr>
            <w:tcW w:w="156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Status </w:t>
            </w:r>
          </w:p>
        </w:tc>
        <w:tc>
          <w:tcPr>
            <w:tcW w:w="203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b/>
                <w:color w:val="7F7F7F"/>
              </w:rPr>
              <w:t xml:space="preserve">Authority </w:t>
            </w:r>
          </w:p>
        </w:tc>
      </w:tr>
      <w:tr w:rsidR="003C3A19">
        <w:tc>
          <w:tcPr>
            <w:tcW w:w="272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Employers’ liability insurance records </w:t>
            </w:r>
          </w:p>
        </w:tc>
        <w:tc>
          <w:tcPr>
            <w:tcW w:w="200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For as long as possible </w:t>
            </w:r>
          </w:p>
        </w:tc>
        <w:tc>
          <w:tcPr>
            <w:tcW w:w="1565"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 tion </w:t>
            </w:r>
          </w:p>
        </w:tc>
        <w:tc>
          <w:tcPr>
            <w:tcW w:w="2034"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Health and Safety Executive </w:t>
            </w:r>
          </w:p>
        </w:tc>
      </w:tr>
    </w:tbl>
    <w:p w:rsidR="003C3A19" w:rsidRDefault="007877B2">
      <w:pPr>
        <w:pStyle w:val="normal0"/>
        <w:shd w:val="clear" w:color="auto" w:fill="FFFFFF"/>
        <w:spacing w:before="100" w:after="280"/>
        <w:rPr>
          <w:rFonts w:ascii="Times New Roman" w:eastAsia="Times New Roman" w:hAnsi="Times New Roman" w:cs="Times New Roman"/>
        </w:rPr>
      </w:pPr>
      <w:r>
        <w:rPr>
          <w:rFonts w:ascii="Merriweather Sans" w:eastAsia="Merriweather Sans" w:hAnsi="Merriweather Sans" w:cs="Merriweather Sans"/>
        </w:rPr>
        <w:t xml:space="preserve"> </w:t>
      </w:r>
    </w:p>
    <w:tbl>
      <w:tblPr>
        <w:tblStyle w:val="a4"/>
        <w:tblW w:w="8330" w:type="dxa"/>
        <w:tblLayout w:type="fixed"/>
        <w:tblLook w:val="0400"/>
      </w:tblPr>
      <w:tblGrid>
        <w:gridCol w:w="1762"/>
        <w:gridCol w:w="2517"/>
        <w:gridCol w:w="1648"/>
        <w:gridCol w:w="2403"/>
      </w:tblGrid>
      <w:tr w:rsidR="003C3A19">
        <w:tc>
          <w:tcPr>
            <w:tcW w:w="1762" w:type="dxa"/>
            <w:vMerge w:val="restart"/>
            <w:tcBorders>
              <w:top w:val="single" w:sz="8" w:space="0" w:color="A5A5A5"/>
              <w:left w:val="single" w:sz="8" w:space="0" w:color="F2F2F2"/>
              <w:bottom w:val="single" w:sz="8" w:space="0" w:color="FFFFFF"/>
              <w:right w:val="single" w:sz="8" w:space="0" w:color="A5A5A5"/>
            </w:tcBorders>
            <w:shd w:val="clear" w:color="auto" w:fill="CED6E5"/>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Minutes/minute books </w:t>
            </w:r>
          </w:p>
        </w:tc>
        <w:tc>
          <w:tcPr>
            <w:tcW w:w="251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10 years from the date of the meeting for companies </w:t>
            </w:r>
          </w:p>
        </w:tc>
        <w:tc>
          <w:tcPr>
            <w:tcW w:w="164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403"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Companies Act 2006 </w:t>
            </w:r>
          </w:p>
        </w:tc>
      </w:tr>
      <w:tr w:rsidR="003C3A19">
        <w:tc>
          <w:tcPr>
            <w:tcW w:w="1762" w:type="dxa"/>
            <w:vMerge/>
            <w:tcBorders>
              <w:top w:val="single" w:sz="8" w:space="0" w:color="A5A5A5"/>
              <w:left w:val="single" w:sz="8" w:space="0" w:color="F2F2F2"/>
              <w:bottom w:val="single" w:sz="8" w:space="0" w:color="FFFFFF"/>
              <w:right w:val="single" w:sz="8" w:space="0" w:color="A5A5A5"/>
            </w:tcBorders>
            <w:shd w:val="clear" w:color="auto" w:fill="CED6E5"/>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517"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6 years from the date of the meeting for Charitable Incorporated Organisations </w:t>
            </w:r>
          </w:p>
        </w:tc>
        <w:tc>
          <w:tcPr>
            <w:tcW w:w="1648"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Requirement </w:t>
            </w:r>
          </w:p>
        </w:tc>
        <w:tc>
          <w:tcPr>
            <w:tcW w:w="2403" w:type="dxa"/>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The Charitable Incorporated Organisations (General) Regulations 2012 </w:t>
            </w:r>
          </w:p>
        </w:tc>
      </w:tr>
      <w:tr w:rsidR="003C3A19">
        <w:tc>
          <w:tcPr>
            <w:tcW w:w="1762" w:type="dxa"/>
            <w:vMerge/>
            <w:tcBorders>
              <w:top w:val="single" w:sz="8" w:space="0" w:color="A5A5A5"/>
              <w:left w:val="single" w:sz="8" w:space="0" w:color="F2F2F2"/>
              <w:bottom w:val="single" w:sz="8" w:space="0" w:color="FFFFFF"/>
              <w:right w:val="single" w:sz="8" w:space="0" w:color="A5A5A5"/>
            </w:tcBorders>
            <w:shd w:val="clear" w:color="auto" w:fill="CED6E5"/>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517" w:type="dxa"/>
            <w:vMerge w:val="restart"/>
            <w:tcBorders>
              <w:top w:val="single" w:sz="8" w:space="0" w:color="A5A5A5"/>
              <w:left w:val="single" w:sz="8" w:space="0" w:color="A5A5A5"/>
              <w:bottom w:val="single" w:sz="4" w:space="0" w:color="A0A0A0"/>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1648" w:type="dxa"/>
            <w:tcBorders>
              <w:top w:val="single" w:sz="8" w:space="0" w:color="A5A5A5"/>
              <w:left w:val="single" w:sz="8" w:space="0" w:color="A5A5A5"/>
              <w:bottom w:val="single" w:sz="4" w:space="0" w:color="A5A5A5"/>
              <w:right w:val="single" w:sz="8" w:space="0" w:color="A5A5A5"/>
            </w:tcBorders>
            <w:vAlign w:val="center"/>
          </w:tcPr>
          <w:p w:rsidR="003C3A19" w:rsidRDefault="003C3A19">
            <w:pPr>
              <w:pStyle w:val="normal0"/>
              <w:rPr>
                <w:rFonts w:ascii="Times New Roman" w:eastAsia="Times New Roman" w:hAnsi="Times New Roman" w:cs="Times New Roman"/>
              </w:rPr>
            </w:pPr>
          </w:p>
        </w:tc>
        <w:tc>
          <w:tcPr>
            <w:tcW w:w="2403" w:type="dxa"/>
            <w:vMerge w:val="restart"/>
            <w:tcBorders>
              <w:top w:val="single" w:sz="8"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Chartered Institute of Personnel and Development </w:t>
            </w:r>
          </w:p>
        </w:tc>
      </w:tr>
      <w:tr w:rsidR="003C3A19">
        <w:trPr>
          <w:trHeight w:val="320"/>
        </w:trPr>
        <w:tc>
          <w:tcPr>
            <w:tcW w:w="1762" w:type="dxa"/>
            <w:vMerge/>
            <w:tcBorders>
              <w:top w:val="single" w:sz="8" w:space="0" w:color="A5A5A5"/>
              <w:left w:val="single" w:sz="8" w:space="0" w:color="F2F2F2"/>
              <w:bottom w:val="single" w:sz="8" w:space="0" w:color="FFFFFF"/>
              <w:right w:val="single" w:sz="8" w:space="0" w:color="A5A5A5"/>
            </w:tcBorders>
            <w:shd w:val="clear" w:color="auto" w:fill="CED6E5"/>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517" w:type="dxa"/>
            <w:vMerge/>
            <w:tcBorders>
              <w:top w:val="single" w:sz="8" w:space="0" w:color="A5A5A5"/>
              <w:left w:val="single" w:sz="8" w:space="0" w:color="A5A5A5"/>
              <w:bottom w:val="single" w:sz="4" w:space="0" w:color="A0A0A0"/>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648" w:type="dxa"/>
            <w:vMerge w:val="restart"/>
            <w:tcBorders>
              <w:top w:val="single" w:sz="4" w:space="0" w:color="A5A5A5"/>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Recommendat ion </w:t>
            </w:r>
          </w:p>
        </w:tc>
        <w:tc>
          <w:tcPr>
            <w:tcW w:w="2403"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3C3A19">
        <w:tc>
          <w:tcPr>
            <w:tcW w:w="1762" w:type="dxa"/>
            <w:vMerge/>
            <w:tcBorders>
              <w:top w:val="single" w:sz="8" w:space="0" w:color="A5A5A5"/>
              <w:left w:val="single" w:sz="8" w:space="0" w:color="F2F2F2"/>
              <w:bottom w:val="single" w:sz="8" w:space="0" w:color="FFFFFF"/>
              <w:right w:val="single" w:sz="8" w:space="0" w:color="A5A5A5"/>
            </w:tcBorders>
            <w:shd w:val="clear" w:color="auto" w:fill="CED6E5"/>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517" w:type="dxa"/>
            <w:tcBorders>
              <w:top w:val="single" w:sz="4" w:space="0" w:color="A0A0A0"/>
              <w:left w:val="single" w:sz="8" w:space="0" w:color="A5A5A5"/>
              <w:bottom w:val="single" w:sz="8" w:space="0" w:color="A5A5A5"/>
              <w:right w:val="single" w:sz="8" w:space="0" w:color="A5A5A5"/>
            </w:tcBorders>
            <w:vAlign w:val="center"/>
          </w:tcPr>
          <w:p w:rsidR="003C3A19" w:rsidRDefault="007877B2">
            <w:pPr>
              <w:pStyle w:val="normal0"/>
              <w:spacing w:before="100" w:after="100"/>
              <w:rPr>
                <w:rFonts w:ascii="Times New Roman" w:eastAsia="Times New Roman" w:hAnsi="Times New Roman" w:cs="Times New Roman"/>
              </w:rPr>
            </w:pPr>
            <w:r>
              <w:rPr>
                <w:rFonts w:ascii="Arial" w:eastAsia="Arial" w:hAnsi="Arial" w:cs="Arial"/>
                <w:color w:val="7F7F7F"/>
              </w:rPr>
              <w:t xml:space="preserve">Permanently </w:t>
            </w:r>
          </w:p>
        </w:tc>
        <w:tc>
          <w:tcPr>
            <w:tcW w:w="1648" w:type="dxa"/>
            <w:vMerge/>
            <w:tcBorders>
              <w:top w:val="single" w:sz="4"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2403" w:type="dxa"/>
            <w:vMerge/>
            <w:tcBorders>
              <w:top w:val="single" w:sz="8" w:space="0" w:color="A5A5A5"/>
              <w:left w:val="single" w:sz="8" w:space="0" w:color="A5A5A5"/>
              <w:bottom w:val="single" w:sz="8" w:space="0" w:color="A5A5A5"/>
              <w:right w:val="single" w:sz="8" w:space="0" w:color="A5A5A5"/>
            </w:tcBorders>
            <w:vAlign w:val="center"/>
          </w:tcPr>
          <w:p w:rsidR="003C3A19" w:rsidRDefault="003C3A19">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bl>
    <w:p w:rsidR="003C3A19" w:rsidRDefault="003C3A19">
      <w:pPr>
        <w:pStyle w:val="normal0"/>
        <w:shd w:val="clear" w:color="auto" w:fill="FFFFFF"/>
        <w:spacing w:before="100" w:after="100"/>
        <w:rPr>
          <w:rFonts w:ascii="Times New Roman" w:eastAsia="Times New Roman" w:hAnsi="Times New Roman" w:cs="Times New Roman"/>
        </w:rPr>
      </w:pPr>
    </w:p>
    <w:sectPr w:rsidR="003C3A19" w:rsidSect="003C3A19">
      <w:headerReference w:type="default" r:id="rId6"/>
      <w:footerReference w:type="default" r:id="rId7"/>
      <w:pgSz w:w="11900" w:h="16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B2" w:rsidRDefault="007877B2" w:rsidP="003C3A19">
      <w:r>
        <w:separator/>
      </w:r>
    </w:p>
  </w:endnote>
  <w:endnote w:type="continuationSeparator" w:id="1">
    <w:p w:rsidR="007877B2" w:rsidRDefault="007877B2" w:rsidP="003C3A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rriweather San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19" w:rsidRDefault="003C3A19">
    <w:pPr>
      <w:pStyle w:val="normal0"/>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B2" w:rsidRDefault="007877B2" w:rsidP="003C3A19">
      <w:r>
        <w:separator/>
      </w:r>
    </w:p>
  </w:footnote>
  <w:footnote w:type="continuationSeparator" w:id="1">
    <w:p w:rsidR="007877B2" w:rsidRDefault="007877B2" w:rsidP="003C3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19" w:rsidRDefault="007877B2">
    <w:pPr>
      <w:pStyle w:val="normal0"/>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extent cx="1371190" cy="130778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7341" b="7341"/>
                  <a:stretch>
                    <a:fillRect/>
                  </a:stretch>
                </pic:blipFill>
                <pic:spPr>
                  <a:xfrm>
                    <a:off x="0" y="0"/>
                    <a:ext cx="1371190" cy="1307783"/>
                  </a:xfrm>
                  <a:prstGeom prst="rect">
                    <a:avLst/>
                  </a:prstGeom>
                  <a:ln/>
                </pic:spPr>
              </pic:pic>
            </a:graphicData>
          </a:graphic>
        </wp:inline>
      </w:drawing>
    </w:r>
  </w:p>
  <w:p w:rsidR="003C3A19" w:rsidRDefault="007877B2">
    <w:pPr>
      <w:pStyle w:val="normal0"/>
      <w:pBdr>
        <w:top w:val="nil"/>
        <w:left w:val="nil"/>
        <w:bottom w:val="nil"/>
        <w:right w:val="nil"/>
        <w:between w:val="nil"/>
      </w:pBdr>
      <w:tabs>
        <w:tab w:val="center" w:pos="4320"/>
        <w:tab w:val="right" w:pos="8640"/>
      </w:tabs>
      <w:jc w:val="center"/>
      <w:rPr>
        <w:color w:val="000000"/>
      </w:rPr>
    </w:pPr>
    <w:r>
      <w:t>The Sjaan Dance Academy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3C3A19"/>
    <w:rsid w:val="00044E85"/>
    <w:rsid w:val="003C3A19"/>
    <w:rsid w:val="007877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C3A19"/>
    <w:pPr>
      <w:keepNext/>
      <w:keepLines/>
      <w:spacing w:before="480" w:after="120"/>
      <w:outlineLvl w:val="0"/>
    </w:pPr>
    <w:rPr>
      <w:b/>
      <w:sz w:val="48"/>
      <w:szCs w:val="48"/>
    </w:rPr>
  </w:style>
  <w:style w:type="paragraph" w:styleId="Heading2">
    <w:name w:val="heading 2"/>
    <w:basedOn w:val="normal0"/>
    <w:next w:val="normal0"/>
    <w:rsid w:val="003C3A19"/>
    <w:pPr>
      <w:keepNext/>
      <w:keepLines/>
      <w:spacing w:before="360" w:after="80"/>
      <w:outlineLvl w:val="1"/>
    </w:pPr>
    <w:rPr>
      <w:b/>
      <w:sz w:val="36"/>
      <w:szCs w:val="36"/>
    </w:rPr>
  </w:style>
  <w:style w:type="paragraph" w:styleId="Heading3">
    <w:name w:val="heading 3"/>
    <w:basedOn w:val="normal0"/>
    <w:next w:val="normal0"/>
    <w:rsid w:val="003C3A19"/>
    <w:pPr>
      <w:keepNext/>
      <w:keepLines/>
      <w:spacing w:before="280" w:after="80"/>
      <w:outlineLvl w:val="2"/>
    </w:pPr>
    <w:rPr>
      <w:b/>
      <w:sz w:val="28"/>
      <w:szCs w:val="28"/>
    </w:rPr>
  </w:style>
  <w:style w:type="paragraph" w:styleId="Heading4">
    <w:name w:val="heading 4"/>
    <w:basedOn w:val="normal0"/>
    <w:next w:val="normal0"/>
    <w:rsid w:val="003C3A19"/>
    <w:pPr>
      <w:keepNext/>
      <w:keepLines/>
      <w:spacing w:before="240" w:after="40"/>
      <w:outlineLvl w:val="3"/>
    </w:pPr>
    <w:rPr>
      <w:b/>
    </w:rPr>
  </w:style>
  <w:style w:type="paragraph" w:styleId="Heading5">
    <w:name w:val="heading 5"/>
    <w:basedOn w:val="normal0"/>
    <w:next w:val="normal0"/>
    <w:rsid w:val="003C3A19"/>
    <w:pPr>
      <w:keepNext/>
      <w:keepLines/>
      <w:spacing w:before="220" w:after="40"/>
      <w:outlineLvl w:val="4"/>
    </w:pPr>
    <w:rPr>
      <w:b/>
      <w:sz w:val="22"/>
      <w:szCs w:val="22"/>
    </w:rPr>
  </w:style>
  <w:style w:type="paragraph" w:styleId="Heading6">
    <w:name w:val="heading 6"/>
    <w:basedOn w:val="normal0"/>
    <w:next w:val="normal0"/>
    <w:rsid w:val="003C3A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3A19"/>
  </w:style>
  <w:style w:type="paragraph" w:styleId="Title">
    <w:name w:val="Title"/>
    <w:basedOn w:val="normal0"/>
    <w:next w:val="normal0"/>
    <w:rsid w:val="003C3A19"/>
    <w:pPr>
      <w:keepNext/>
      <w:keepLines/>
      <w:spacing w:before="480" w:after="120"/>
    </w:pPr>
    <w:rPr>
      <w:b/>
      <w:sz w:val="72"/>
      <w:szCs w:val="72"/>
    </w:rPr>
  </w:style>
  <w:style w:type="paragraph" w:styleId="Subtitle">
    <w:name w:val="Subtitle"/>
    <w:basedOn w:val="normal0"/>
    <w:next w:val="normal0"/>
    <w:rsid w:val="003C3A19"/>
    <w:pPr>
      <w:keepNext/>
      <w:keepLines/>
      <w:spacing w:before="360" w:after="80"/>
    </w:pPr>
    <w:rPr>
      <w:rFonts w:ascii="Georgia" w:eastAsia="Georgia" w:hAnsi="Georgia" w:cs="Georgia"/>
      <w:i/>
      <w:color w:val="666666"/>
      <w:sz w:val="48"/>
      <w:szCs w:val="48"/>
    </w:rPr>
  </w:style>
  <w:style w:type="table" w:customStyle="1" w:styleId="a">
    <w:basedOn w:val="TableNormal"/>
    <w:rsid w:val="003C3A19"/>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3C3A19"/>
    <w:tblPr>
      <w:tblStyleRowBandSize w:val="1"/>
      <w:tblStyleColBandSize w:val="1"/>
      <w:tblInd w:w="0" w:type="dxa"/>
      <w:tblCellMar>
        <w:top w:w="15" w:type="dxa"/>
        <w:left w:w="15" w:type="dxa"/>
        <w:bottom w:w="15" w:type="dxa"/>
        <w:right w:w="15" w:type="dxa"/>
      </w:tblCellMar>
    </w:tblPr>
  </w:style>
  <w:style w:type="table" w:customStyle="1" w:styleId="a1">
    <w:basedOn w:val="TableNormal"/>
    <w:rsid w:val="003C3A19"/>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3C3A19"/>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3C3A19"/>
    <w:tblPr>
      <w:tblStyleRowBandSize w:val="1"/>
      <w:tblStyleColBandSize w:val="1"/>
      <w:tblInd w:w="0" w:type="dxa"/>
      <w:tblCellMar>
        <w:top w:w="15" w:type="dxa"/>
        <w:left w:w="15" w:type="dxa"/>
        <w:bottom w:w="15" w:type="dxa"/>
        <w:right w:w="15" w:type="dxa"/>
      </w:tblCellMar>
    </w:tblPr>
  </w:style>
  <w:style w:type="table" w:customStyle="1" w:styleId="a4">
    <w:basedOn w:val="TableNormal"/>
    <w:rsid w:val="003C3A19"/>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44E85"/>
    <w:rPr>
      <w:rFonts w:ascii="Tahoma" w:hAnsi="Tahoma" w:cs="Tahoma"/>
      <w:sz w:val="16"/>
      <w:szCs w:val="16"/>
    </w:rPr>
  </w:style>
  <w:style w:type="character" w:customStyle="1" w:styleId="BalloonTextChar">
    <w:name w:val="Balloon Text Char"/>
    <w:basedOn w:val="DefaultParagraphFont"/>
    <w:link w:val="BalloonText"/>
    <w:uiPriority w:val="99"/>
    <w:semiHidden/>
    <w:rsid w:val="00044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8644</Characters>
  <Application>Microsoft Office Word</Application>
  <DocSecurity>0</DocSecurity>
  <Lines>72</Lines>
  <Paragraphs>20</Paragraphs>
  <ScaleCrop>false</ScaleCrop>
  <Company>Grizli777</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Sjaan Mauger</dc:creator>
  <cp:lastModifiedBy>Sjaan Mauger</cp:lastModifiedBy>
  <cp:revision>2</cp:revision>
  <dcterms:created xsi:type="dcterms:W3CDTF">2018-04-29T05:54:00Z</dcterms:created>
  <dcterms:modified xsi:type="dcterms:W3CDTF">2018-04-29T05:54:00Z</dcterms:modified>
</cp:coreProperties>
</file>